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4.jpg" ContentType="image/jpeg"/>
  <Override PartName="/word/media/rId26.jpg" ContentType="image/jpeg"/>
  <Override PartName="/word/media/rId28.jpg" ContentType="image/jpeg"/>
  <Override PartName="/word/media/rId30.jpg" ContentType="image/jpeg"/>
  <Override PartName="/word/media/rId32.jpg" ContentType="image/jpeg"/>
  <Override PartName="/word/media/rId35.jpg" ContentType="image/jpeg"/>
  <Override PartName="/word/media/rId37.jpg" ContentType="image/jpeg"/>
  <Override PartName="/word/media/rId39.jpg" ContentType="image/jpeg"/>
  <Override PartName="/word/media/rId41.jpg" ContentType="image/jpeg"/>
  <Override PartName="/word/media/rId43.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colors indicate oak-population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rPr>
          <w:i/>
          <w:b/>
        </w:rPr>
        <w:t xml:space="preserve">a)</w:t>
      </w:r>
      <w:r>
        <w:t xml:space="preserve"> </w:t>
      </w:r>
      <w:r>
        <w:t xml:space="preserve">EVI standardized anomaly during the period 2000-2016 for northern and southern populations. Error bars show standard error. See main text for details on EVI calculation.</w:t>
      </w:r>
      <w:r>
        <w:t xml:space="preserve"> </w:t>
      </w:r>
      <w:r>
        <w:rPr>
          <w:i/>
          <w:b/>
        </w:rPr>
        <w:t xml:space="preserve">b)</w:t>
      </w:r>
      <w:r>
        <w:t xml:space="preserve"> </w:t>
      </w:r>
      <w:r>
        <w:t xml:space="preserve">Percentage of pixels showing browning, greening or no changes during the 2005 and 2012 drought events according to EVI standardized anomalies. See main text for an explanation of greening and browning.</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2ab.jpg" id="0" name="Picture"/>
                    <pic:cNvPicPr>
                      <a:picLocks noChangeArrowheads="1" noChangeAspect="1"/>
                    </pic:cNvPicPr>
                  </pic:nvPicPr>
                  <pic:blipFill>
                    <a:blip r:embed="rId2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Only years replicated with # series &gt; 5 are shown. Linear trends since 1975 are indicated for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4.jpg" id="0" name="Picture"/>
                    <pic:cNvPicPr>
                      <a:picLocks noChangeArrowheads="1" noChangeAspect="1"/>
                    </pic:cNvPicPr>
                  </pic:nvPicPr>
                  <pic:blipFill>
                    <a:blip r:embed="rId24"/>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of GC (see Material and methods). Note that y-axes do not correspond in all of the three panels for the sake of clarity. Error bars indicate standard error.</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5.jpg" id="0" name="Picture"/>
                    <pic:cNvPicPr>
                      <a:picLocks noChangeArrowheads="1" noChangeAspect="1"/>
                    </pic:cNvPicPr>
                  </pic:nvPicPr>
                  <pic:blipFill>
                    <a:blip r:embed="rId26"/>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Resilience metrics of tree-growth for eight severe drought events since 1950 (see main text for details) as a function of drought severity.</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jpg" id="0" name="Picture"/>
                    <pic:cNvPicPr>
                      <a:picLocks noChangeArrowheads="1" noChangeAspect="1"/>
                    </pic:cNvPicPr>
                  </pic:nvPicPr>
                  <pic:blipFill>
                    <a:blip r:embed="rId28"/>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(a) and tree growth (b). For EVI, northern populations (</w:t>
      </w:r>
      <w:r>
        <w:rPr>
          <w:i/>
        </w:rPr>
        <w:t xml:space="preserve">red circle</w:t>
      </w:r>
      <w:r>
        <w:t xml:space="preserve">) were compared with southern ones (</w:t>
      </w:r>
      <w:r>
        <w:rPr>
          <w:i/>
        </w:rPr>
        <w:t xml:space="preserve">green circle</w:t>
      </w:r>
      <w:r>
        <w:t xml:space="preserve">). For BAI, the more xeric northern population (San Juan, SJ;</w:t>
      </w:r>
      <w:r>
        <w:t xml:space="preserve"> </w:t>
      </w:r>
      <w:r>
        <w:rPr>
          <w:i/>
        </w:rPr>
        <w:t xml:space="preserve">red circle</w:t>
      </w:r>
      <w:r>
        <w:t xml:space="preserve">) was compared with the two southern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extodecuerpo"/>
      </w:pPr>
      <w:r>
        <w:drawing>
          <wp:inline>
            <wp:extent cx="6324600" cy="7186381"/>
            <wp:effectExtent b="0" l="0" r="0" t="0"/>
            <wp:docPr descr="" title="" id="1" name="Picture"/>
            <a:graphic>
              <a:graphicData uri="http://schemas.openxmlformats.org/drawingml/2006/picture">
                <pic:pic>
                  <pic:nvPicPr>
                    <pic:cNvPr descr="../../man/figures/svg/fig_7.jpg" id="0" name="Picture"/>
                    <pic:cNvPicPr>
                      <a:picLocks noChangeArrowheads="1" noChangeAspect="1"/>
                    </pic:cNvPicPr>
                  </pic:nvPicPr>
                  <pic:blipFill>
                    <a:blip r:embed="rId30"/>
                    <a:stretch>
                      <a:fillRect/>
                    </a:stretch>
                  </pic:blipFill>
                  <pic:spPr bwMode="auto">
                    <a:xfrm>
                      <a:off x="0" y="0"/>
                      <a:ext cx="6324600" cy="7186381"/>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Correlation coefficients found by relating tree-ring residual chronologies (RWI) of</w:t>
      </w:r>
      <w:r>
        <w:t xml:space="preserve"> </w:t>
      </w:r>
      <w:r>
        <w:rPr>
          <w:i/>
        </w:rPr>
        <w:t xml:space="preserve">Q. pyrenaica</w:t>
      </w:r>
      <w:r>
        <w:t xml:space="preserve"> </w:t>
      </w:r>
      <w:r>
        <w:t xml:space="preserve">and monthly climatic data: precipitation and 6-month SPEI (a), minimum (b) and maximum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southern site (CA-High). Asterisks indicate significant (</w:t>
      </w:r>
      <m:oMath>
        <m:r>
          <m:t>P</m:t>
        </m:r>
        <m:r>
          <m:t>&lt;</m:t>
        </m:r>
        <m:r>
          <m:t>0.05</m:t>
        </m:r>
      </m:oMath>
      <w:r>
        <w:t xml:space="preserve">) correlation coefficients.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32"/>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S1.</w:t>
      </w:r>
      <w:r>
        <w:t xml:space="preserve"> </w:t>
      </w:r>
      <w:r>
        <w:rPr>
          <w:i/>
          <w:b/>
        </w:rPr>
        <w:t xml:space="preserve">a)</w:t>
      </w:r>
      <w:r>
        <w:t xml:space="preserve"> </w:t>
      </w:r>
      <w:r>
        <w:t xml:space="preserve">Temporal evolution of cumulative precipitation (hydrological year) during the period 1950-2017. Points represent the mean, and error bars the standard error. The black line indicates mean for the entire period (585 mm). The red lines represent -1 and -2 standard deviation (dotted and dashed lines, respectively). The blue lines represent +1 and +2 standard deviation (dotted and dashed lines, respectively). Years with average values below -1SD are labeled. Data from 28 meteorological stations distributed around the Sierra Nevada area (from the National Spanish Meteorological Services, AEMET).</w:t>
      </w:r>
      <w:r>
        <w:t xml:space="preserve"> </w:t>
      </w:r>
      <w:r>
        <w:rPr>
          <w:i/>
          <w:b/>
        </w:rPr>
        <w:t xml:space="preserve">Inset plot</w:t>
      </w:r>
      <w:r>
        <w:t xml:space="preserve">: cumulative precipitation during the hydrological years 2004-2005 (blue line) and 2011-2012 (red line). The boxplot representing the average from 1950-2015 period. Data from meteorological station Granada, Base Aérea.</w:t>
      </w:r>
      <w:r>
        <w:t xml:space="preserve"> </w:t>
      </w:r>
      <w:r>
        <w:rPr>
          <w:i/>
          <w:b/>
        </w:rPr>
        <w:t xml:space="preserve">b)</w:t>
      </w:r>
      <w:r>
        <w:t xml:space="preserve"> </w:t>
      </w:r>
      <w:r>
        <w:t xml:space="preserve">Drought severity in Sierra Nevada for the 1901-2016 period based on the Standardized Precipitation-Evapotranspiration Index (SPEI). Data from Global SPEI database (</w:t>
      </w:r>
      <w:hyperlink r:id="rId34">
        <w:r>
          <w:rPr>
            <w:rStyle w:val="Hipervnculo"/>
          </w:rPr>
          <w:t xml:space="preserve">http://spei.csic.es/database.html</w:t>
        </w:r>
      </w:hyperlink>
      <w:r>
        <w:t xml:space="preserve">). We took the SPEI data for a 12-month scale and for all 0.5º grid cells covering Sierra Nevada. Horizontal gray bars indicate the years 2005 and 2012.</w:t>
      </w:r>
    </w:p>
    <w:p>
      <w:pPr>
        <w:pStyle w:val="Textodecuerpo"/>
      </w:pPr>
      <w:r>
        <w:drawing>
          <wp:inline>
            <wp:extent cx="6324600" cy="5060536"/>
            <wp:effectExtent b="0" l="0" r="0" t="0"/>
            <wp:docPr descr="" title="" id="1" name="Picture"/>
            <a:graphic>
              <a:graphicData uri="http://schemas.openxmlformats.org/drawingml/2006/picture">
                <pic:pic>
                  <pic:nvPicPr>
                    <pic:cNvPr descr="../../man/figures/svg/fig_s1ab.jpg" id="0" name="Picture"/>
                    <pic:cNvPicPr>
                      <a:picLocks noChangeArrowheads="1" noChangeAspect="1"/>
                    </pic:cNvPicPr>
                  </pic:nvPicPr>
                  <pic:blipFill>
                    <a:blip r:embed="rId35"/>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S2.</w:t>
      </w:r>
      <w:r>
        <w:t xml:space="preserve"> </w:t>
      </w:r>
      <w:r>
        <w:rPr>
          <w:i/>
          <w:b/>
        </w:rPr>
        <w:t xml:space="preserve">a)</w:t>
      </w:r>
      <w:r>
        <w:t xml:space="preserve"> </w:t>
      </w:r>
      <w:r>
        <w:t xml:space="preserve">Residual tree-ring chronologies determined for the</w:t>
      </w:r>
      <w:r>
        <w:t xml:space="preserve"> </w:t>
      </w:r>
      <w:r>
        <w:rPr>
          <w:i/>
        </w:rPr>
        <w:t xml:space="preserve">Q. pyrenaica</w:t>
      </w:r>
      <w:r>
        <w:t xml:space="preserve"> </w:t>
      </w:r>
      <w:r>
        <w:t xml:space="preserve">sites. Dashed red lines indicate the start of the reliable period (EPS &gt; 0.85). Dotted black lines show the severe drought years identified in our climatic data (Table S3 and Figure S1).</w:t>
      </w:r>
      <w:r>
        <w:t xml:space="preserve"> </w:t>
      </w:r>
      <w:r>
        <w:rPr>
          <w:i/>
          <w:b/>
        </w:rPr>
        <w:t xml:space="preserve">b)</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(right-axis). Data for number of trees &gt; 2 is shown.</w:t>
      </w:r>
    </w:p>
    <w:p>
      <w:pPr>
        <w:pStyle w:val="Textodecuerpo"/>
      </w:pPr>
      <w:r>
        <w:drawing>
          <wp:inline>
            <wp:extent cx="6324600" cy="5060536"/>
            <wp:effectExtent b="0" l="0" r="0" t="0"/>
            <wp:docPr descr="" title="" id="1" name="Picture"/>
            <a:graphic>
              <a:graphicData uri="http://schemas.openxmlformats.org/drawingml/2006/picture">
                <pic:pic>
                  <pic:nvPicPr>
                    <pic:cNvPr descr="../../man/figures/svg/fig_s2ab.jpg" id="0" name="Picture"/>
                    <pic:cNvPicPr>
                      <a:picLocks noChangeArrowheads="1" noChangeAspect="1"/>
                    </pic:cNvPicPr>
                  </pic:nvPicPr>
                  <pic:blipFill>
                    <a:blip r:embed="rId37"/>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8" w:name="section-8"/>
      <w:bookmarkEnd w:id="38"/>
    </w:p>
    <w:p>
      <w:pPr>
        <w:pStyle w:val="FirstParagraph"/>
      </w:pPr>
      <w:r>
        <w:rPr>
          <w:b/>
        </w:rPr>
        <w:t xml:space="preserve">Figure S3.</w:t>
      </w:r>
      <w:r>
        <w:t xml:space="preserve"> </w:t>
      </w:r>
      <w:r>
        <w:rPr>
          <w:i/>
          <w:b/>
        </w:rPr>
        <w:t xml:space="preserve">a)</w:t>
      </w:r>
      <w:r>
        <w:t xml:space="preserve"> </w:t>
      </w:r>
      <w:r>
        <w:t xml:space="preserve">Correlation among site chronologies (CA-High, CA-Low and SJ) in different time domains after pre-filtering the time series with increasing size of the moving-average window (1 to 40 years). Each site chronology was smoothed using centered moving averages with different window sizes (1 to 40 years), and then Pearson’s correlation coefficient between the each pair of chronologies was calculated. Significance was tested using 1000 bootstrap replicates and with 95% confidence intervals built using the R package</w:t>
      </w:r>
      <w:r>
        <w:t xml:space="preserve"> </w:t>
      </w:r>
      <w:r>
        <w:rPr>
          <w:rStyle w:val="VerbatimChar"/>
        </w:rPr>
        <w:t xml:space="preserve">boot</w:t>
      </w:r>
      <w:r>
        <w:t xml:space="preserve">.</w:t>
      </w:r>
      <w:r>
        <w:t xml:space="preserve"> </w:t>
      </w:r>
      <w:r>
        <w:rPr>
          <w:i/>
          <w:b/>
        </w:rPr>
        <w:t xml:space="preserve">b)</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w:t>
      </w:r>
    </w:p>
    <w:p>
      <w:pPr>
        <w:pStyle w:val="Textodecuerpo"/>
      </w:pPr>
      <w:r>
        <w:drawing>
          <wp:inline>
            <wp:extent cx="6324600" cy="3162300"/>
            <wp:effectExtent b="0" l="0" r="0" t="0"/>
            <wp:docPr descr="" title="" id="1" name="Picture"/>
            <a:graphic>
              <a:graphicData uri="http://schemas.openxmlformats.org/drawingml/2006/picture">
                <pic:pic>
                  <pic:nvPicPr>
                    <pic:cNvPr descr="../../man/figures/svg/fig_s4ab.jpg" id="0" name="Picture"/>
                    <pic:cNvPicPr>
                      <a:picLocks noChangeArrowheads="1" noChangeAspect="1"/>
                    </pic:cNvPicPr>
                  </pic:nvPicPr>
                  <pic:blipFill>
                    <a:blip r:embed="rId39"/>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S4.</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indicates the start and end months of each drought event. Bars lengths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41"/>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S5.</w:t>
      </w:r>
      <w:r>
        <w:t xml:space="preserve"> </w:t>
      </w:r>
      <w:r>
        <w:t xml:space="preserve">Resilience metrics of the tree growth for severe drought events since 1950 (excluding 1995 drought event).</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The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43"/>
                    <a:stretch>
                      <a:fillRect/>
                    </a:stretch>
                  </pic:blipFill>
                  <pic:spPr bwMode="auto">
                    <a:xfrm>
                      <a:off x="0" y="0"/>
                      <a:ext cx="6324600" cy="3541518"/>
                    </a:xfrm>
                    <a:prstGeom prst="rect">
                      <a:avLst/>
                    </a:prstGeom>
                    <a:noFill/>
                    <a:ln w="9525">
                      <a:noFill/>
                      <a:headEnd/>
                      <a:tailEnd/>
                    </a:ln>
                  </pic:spPr>
                </pic:pic>
              </a:graphicData>
            </a:graphic>
          </wp:inline>
        </w:drawing>
      </w:r>
    </w:p>
    <w:bookmarkStart w:id="47" w:name="refs"/>
    <w:bookmarkStart w:id="44" w:name="ref-Nowacki1997"/>
    <w:p>
      <w:pPr>
        <w:pStyle w:val="Bibliografa"/>
      </w:pPr>
      <w:r>
        <w:t xml:space="preserve">Nowacki, G. J., and M. D. Abrams. 1997. Radial-growth averaging criteria for reconstructing disturbance histories from presettlement-origing oaks. Ecological Monographs 67:225–249.</w:t>
      </w:r>
    </w:p>
    <w:bookmarkEnd w:id="44"/>
    <w:bookmarkStart w:id="45" w:name="ref-Pascoa2017"/>
    <w:p>
      <w:pPr>
        <w:pStyle w:val="Bibliografa"/>
      </w:pPr>
      <w:r>
        <w:t xml:space="preserve">Páscoa, P., C. Gouveia, A. Russo, and R. Trigo. 2017. Drought trends in the Iberian Peninsula over the last 112 years. Advances in Meteorology:ID4653126.</w:t>
      </w:r>
    </w:p>
    <w:bookmarkEnd w:id="45"/>
    <w:bookmarkStart w:id="46"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46"/>
    <w:bookmarkEnd w:id="47"/>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4" Target="media/rId24.jpg" /><Relationship Type="http://schemas.openxmlformats.org/officeDocument/2006/relationships/image" Id="rId26" Target="media/rId26.jpg" /><Relationship Type="http://schemas.openxmlformats.org/officeDocument/2006/relationships/image" Id="rId28" Target="media/rId28.jp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image" Id="rId20" Target="media/rId20.jpg" /><Relationship Type="http://schemas.openxmlformats.org/officeDocument/2006/relationships/hyperlink" Id="rId34"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4"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2019-12-10T14:42:18Z</dcterms:created>
  <dcterms:modified xsi:type="dcterms:W3CDTF">2019-12-10T14:42:18Z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